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A4F"/>
          <w:sz w:val="16"/>
          <w:szCs w:val="16"/>
          <w:b w:val="1"/>
          <w:bCs w:val="1"/>
          <w:smallCaps w:val="0"/>
          <w:caps w:val="1"/>
        </w:rPr>
        <w:t xml:space="preserve">BET365 TUNISIE</w:t>
      </w:r>
    </w:p>
    <w:p>
      <w:pPr>
        <w:pStyle w:val="Heading1"/>
      </w:pPr>
      <w:bookmarkStart w:id="0" w:name="_Toc0"/>
      <w:r>
        <w:t>مكافأة الترحيب من Bet365: دليل 2026</w:t>
      </w:r>
      <w:bookmarkEnd w:id="0"/>
    </w:p>
    <w:p>
      <w:pPr>
        <w:spacing w:after="80"/>
      </w:pPr>
      <w:r>
        <w:rPr>
          <w:color w:val="586A60"/>
          <w:sz w:val="24"/>
          <w:szCs w:val="24"/>
        </w:rPr>
        <w:t xml:space="preserve">مكافأة الترحيب من Bet365 في تونس 2026: المبلغ الإرشادي، شروط المراهنة، كيفية التفعيل للرياضة والأخطاء الشائعة. دليل موضوعي وصريح.</w:t>
      </w:r>
    </w:p>
    <w:p>
      <w:pPr>
        <w:spacing w:after="200"/>
      </w:pPr>
      <w:r>
        <w:rPr>
          <w:color w:val="586A60"/>
          <w:sz w:val="18"/>
          <w:szCs w:val="18"/>
        </w:rPr>
        <w:t xml:space="preserve">Hatem Gharbi, rédacteur paris sportifs · 09.06.2026</w:t>
      </w:r>
    </w:p>
    <w:p>
      <w:pPr>
        <w:spacing w:after="200"/>
        <w:shd w:val="clear" w:fill="E7F3EC"/>
      </w:pPr>
      <w:r>
        <w:rPr>
          <w:color w:val="1A7A4F"/>
          <w:b w:val="1"/>
          <w:bCs w:val="1"/>
        </w:rPr>
        <w:t xml:space="preserve">TL;DR  </w:t>
      </w:r>
      <w:r>
        <w:rPr>
          <w:sz w:val="20"/>
          <w:szCs w:val="20"/>
        </w:rPr>
        <w:t xml:space="preserve">مكافأة الترحيب من Bet365 عرضٌ موجّه للحسابات الجديدة، لكنه متغيّر حسب السوق والفترة، فلا يصحّ التعامل مع أيّ رقم متداول على أنه نهائي؛ المبلغ والشروط يُحقَّقان على الموقع الرسمي لحظة التسجيل في تونس. يشرح هذا الدليل هيكل العرض وكيفية تفعيله عبر التسجيل وكود المكافأة والحدّ الأدنى للإيداع، ثم شروط المراهنة الحقيقية: متطلّب التدوير والكوتة الدنيا ومدّة الصلاحية والأسواق المؤهَّلة. نضيف نصائح عملية لإدارة رأس المال واختيار الأسواق دون مطاردة الشروط، وننتهي بشروط سحب أرباح المكافأة بعد إكمال التحقق. القاعدة الثابتة: قيمة العرض في مرونة شروطه لا في حجم رقمه، والتحقق من الموقع الرسمي قبل الإيداع. 18+، واللعب مسؤولية.</w:t>
      </w:r>
    </w:p>
    <w:p>
      <w:pPr>
        <w:pStyle w:val="Heading2"/>
      </w:pPr>
      <w:bookmarkStart w:id="1" w:name="_Toc1"/>
      <w:r>
        <w:t>هيكل العرض</w:t>
      </w:r>
      <w:bookmarkEnd w:id="1"/>
    </w:p>
    <w:p>
      <w:pPr>
        <w:spacing w:after="80"/>
      </w:pPr>
      <w:r>
        <w:rPr>
          <w:b w:val="1"/>
          <w:bCs w:val="1"/>
        </w:rPr>
        <w:t xml:space="preserve">عرض الترحيب من Bet365 موجّه للاعبين الجدد، ويتغيّر نوعه ومبلغه حسب السوق والفترة؛ في تونس يُحقَّق المبلغ بالدينار على الموقع الرسمي ولا يُخترع، وقد يشمل الرياضة أو الكازينو.</w:t>
      </w:r>
    </w:p>
    <w:p>
      <w:pPr/>
      <w:r>
        <w:rPr/>
        <w:t xml:space="preserve">قبل التفكير في التفعيل، من المهمّ فهم ما هو العرض أصلاً. مكافأة الترحيب من Bet365 امتيازٌ مخصّص للحسابات الجديدة عند أوّل إيداع أو رهان، ويختلف شكله من سوق إلى آخر: قد يأخذ صيغة رصيد رهان أو امتياز على أوّل عملية، وتتغيّر تفاصيله حسب الفترة الترويجية.</w:t>
      </w:r>
    </w:p>
    <w:p>
      <w:pPr/>
      <w:r>
        <w:rPr/>
        <w:t xml:space="preserve">أهمّ نقطة أن المبلغ بالدينار التونسي ليس رقماً ثابتاً يمكن نقله من صفحة خارجية. العرض المُلزم هو ما يظهر على الموقع الرسمي وقت إنشاء الحساب، لذا نكتب هنا المبدأ لا الرقم، ونوجّهك إلى التحقق من القيمة الجارية عند التسجيل.</w:t>
      </w:r>
    </w:p>
    <w:p>
      <w:pPr>
        <w:numPr>
          <w:ilvl w:val="0"/>
          <w:numId w:val="3"/>
        </w:numPr>
      </w:pPr>
      <w:r>
        <w:rPr>
          <w:b w:val="1"/>
          <w:bCs w:val="1"/>
        </w:rPr>
        <w:t xml:space="preserve">الجمهور:</w:t>
      </w:r>
      <w:r>
        <w:rPr/>
        <w:t xml:space="preserve"> الحسابات الجديدة فقط، عند أوّل إيداع أو رهان.</w:t>
      </w:r>
    </w:p>
    <w:p>
      <w:pPr>
        <w:numPr>
          <w:ilvl w:val="0"/>
          <w:numId w:val="3"/>
        </w:numPr>
      </w:pPr>
      <w:r>
        <w:rPr>
          <w:b w:val="1"/>
          <w:bCs w:val="1"/>
        </w:rPr>
        <w:t xml:space="preserve">الصيغة:</w:t>
      </w:r>
      <w:r>
        <w:rPr/>
        <w:t xml:space="preserve"> متغيّرة حسب السوق والفترة (رصيد رهان أو امتياز على العملية الأولى).</w:t>
      </w:r>
    </w:p>
    <w:p>
      <w:pPr>
        <w:numPr>
          <w:ilvl w:val="0"/>
          <w:numId w:val="3"/>
        </w:numPr>
      </w:pPr>
      <w:r>
        <w:rPr>
          <w:b w:val="1"/>
          <w:bCs w:val="1"/>
        </w:rPr>
        <w:t xml:space="preserve">المبلغ:</w:t>
      </w:r>
      <w:r>
        <w:rPr/>
        <w:t xml:space="preserve"> بالدينار التونسي، يُحقَّق على الموقع الرسمي لا يُخترع.</w:t>
      </w:r>
    </w:p>
    <w:p>
      <w:pPr>
        <w:numPr>
          <w:ilvl w:val="0"/>
          <w:numId w:val="3"/>
        </w:numPr>
      </w:pPr>
      <w:r>
        <w:rPr>
          <w:b w:val="1"/>
          <w:bCs w:val="1"/>
        </w:rPr>
        <w:t xml:space="preserve">المجال:</w:t>
      </w:r>
      <w:r>
        <w:rPr/>
        <w:t xml:space="preserve"> قد يخصّ الرياضة أو الكازينو، ولكلٍّ شروطه المنفصلة.</w:t>
      </w:r>
    </w:p>
    <w:p>
      <w:pPr/>
      <w:r>
        <w:rPr/>
        <w:t xml:space="preserve">يفيد أن يدرك اللاعب أنّ شكل العرض نفسه قد يتغيّر بين فترة وأخرى: قد يكون رصيد رهان يُمنح بعد أوّل إيداع، أو امتيازاً على الرهان الأول، أو عرضاً مرتبطاً بحدث رياضي بعينه. لهذا لا يصحّ نقل وصف عرض قديم من صفحة خارجية وافتراض سريانه؛ ما ينطبق على حسابك في تونس هو ما يظهر على الموقع الرسمي لحظة تسجيلك، بصيغته ومبلغه وشروطه القائمة حينها.</w:t>
      </w:r>
    </w:p>
    <w:p>
      <w:pPr/>
      <w:r>
        <w:rPr/>
        <w:t xml:space="preserve">الفرق بين عرض الرياضة وعرض الكازينو جوهري: لكلٍّ منهما أسواقه أو ألعابه المؤهَّلة وشروط تدويره. لا تفترض أن مكافأة رياضية تصلح للكازينو أو العكس، بل اقرأ المجال المحدّد للعرض الذي تختاره عند التسجيل.</w:t>
      </w:r>
    </w:p>
    <w:p>
      <w:pPr>
        <w:spacing w:before="60" w:after="160"/>
      </w:pPr>
      <w:r>
        <w:rPr>
          <w:color w:val="586A60"/>
          <w:i w:val="1"/>
          <w:iCs w:val="1"/>
        </w:rPr>
        <w:t xml:space="preserve">عرض الترحيب موجّه للجدد ومتغيّر الصيغة حسب السوق والفترة، ومبلغه بالدينار يُحقَّق على الموقع الرسمي؛ وتختلف شروط عرض الرياضة عن عرض الكازينو.</w:t>
      </w:r>
    </w:p>
    <w:p>
      <w:pPr>
        <w:pStyle w:val="Heading2"/>
      </w:pPr>
      <w:bookmarkStart w:id="2" w:name="_Toc2"/>
      <w:r>
        <w:t>كيفية تفعيل المكافأة</w:t>
      </w:r>
      <w:bookmarkEnd w:id="2"/>
    </w:p>
    <w:p>
      <w:pPr>
        <w:spacing w:after="80"/>
      </w:pPr>
      <w:r>
        <w:rPr>
          <w:b w:val="1"/>
          <w:bCs w:val="1"/>
        </w:rPr>
        <w:t xml:space="preserve">يُفعَّل العرض بإنشاء حساب جديد وإدخال كود المكافأة إن وُجد عند التسجيل، ثم إيداع يستوفي الحدّ الأدنى المطلوب؛ والأخطاء الشائعة تتعلّق بترتيب الخطوات وعدم استيفاء الشرط.</w:t>
      </w:r>
    </w:p>
    <w:p>
      <w:pPr/>
      <w:r>
        <w:rPr/>
        <w:t xml:space="preserve">تفعيل المكافأة سلسلة خطوات مترابطة لا خطوة واحدة. يبدأ بإنشاء حساب جديد، ثم إدخال كود المكافأة في حقله المخصّص أثناء التسجيل إن كان العرض مرتبطاً بكود، يليه إيداعٌ يستوفي الحدّ الأدنى المطلوب لفتح العرض. ترتيب هذه الخطوات يهمّ لأن بعض العروض لا تُربط بأثر رجعي بعد إنشاء الحساب.</w:t>
      </w:r>
    </w:p>
    <w:p>
      <w:pPr/>
      <w:r>
        <w:rPr/>
        <w:t xml:space="preserve">كود المكافأة، حين يُطلب، يربط حسابك بالترويج الجاري ولا يفعل أكثر من ذلك. هو إشارة توجيه لا مفتاح مال: لا يرفع قيمة العرض فوق قواعده ولا يُلغي شرطاً. والإيداع وحده لا يكفي إن لم يبلغ الحدّ الأدنى المعلن للعرض.</w:t>
      </w:r>
    </w:p>
    <w:p>
      <w:pPr>
        <w:numPr>
          <w:ilvl w:val="0"/>
          <w:numId w:val="4"/>
        </w:numPr>
      </w:pPr>
      <w:r>
        <w:rPr/>
        <w:t xml:space="preserve">أنشئ حساباً جديداً ببيانات صحيحة مطابقة لهويتك.</w:t>
      </w:r>
    </w:p>
    <w:p>
      <w:pPr>
        <w:numPr>
          <w:ilvl w:val="0"/>
          <w:numId w:val="4"/>
        </w:numPr>
      </w:pPr>
      <w:r>
        <w:rPr/>
        <w:t xml:space="preserve">أدخل كود المكافأة في حقله المخصّص أثناء التسجيل إن طُلب.</w:t>
      </w:r>
    </w:p>
    <w:p>
      <w:pPr>
        <w:numPr>
          <w:ilvl w:val="0"/>
          <w:numId w:val="4"/>
        </w:numPr>
      </w:pPr>
      <w:r>
        <w:rPr/>
        <w:t xml:space="preserve">أودِع مبلغاً يستوفي الحدّ الأدنى المطلوب لفتح العرض.</w:t>
      </w:r>
    </w:p>
    <w:p>
      <w:pPr>
        <w:numPr>
          <w:ilvl w:val="0"/>
          <w:numId w:val="4"/>
        </w:numPr>
      </w:pPr>
      <w:r>
        <w:rPr/>
        <w:t xml:space="preserve">تأكّد من ظهور المكافأة مرتبطة بحسابك قبل بدء المراهنة.</w:t>
      </w:r>
    </w:p>
    <w:p>
      <w:pPr/>
      <w:r>
        <w:rPr/>
        <w:t xml:space="preserve">خطأ شائع يستحقّ الإبراز: المبادرة بالإيداع قبل التأكّد من ربط العرض بالحساب. فلو أودعت ثم اكتشفت أنّ الكود لم يُدخَل في وقته أو أنّ الإيداع لم يبلغ الحدّ الأدنى، قد تفوتك المكافأة دون إمكان تداركها بأثر رجعي. لذا تأكّد من ظهور الترويج مرتبطاً بحسابك أولاً، ثم أودِع المبلغ المستوفي للشرط، لا العكس.</w:t>
      </w:r>
    </w:p>
    <w:p>
      <w:pPr/>
      <w:r>
        <w:rPr/>
        <w:t xml:space="preserve">الأخطاء الشائعة معروفة: نسيان إدخال الكود في وقته، أو إيداع دون الحدّ الأدنى، أو افتراض أن العرض يُفعَّل تلقائياً دون استيفاء شروطه. تفادي هذه الأخطاء يبدأ بقراءة شروط العرض على الموقع الرسمي قبل الإيداع لا بعده.</w:t>
      </w:r>
    </w:p>
    <w:p>
      <w:pPr>
        <w:spacing w:before="60" w:after="160"/>
      </w:pPr>
      <w:r>
        <w:rPr>
          <w:color w:val="586A60"/>
          <w:i w:val="1"/>
          <w:iCs w:val="1"/>
        </w:rPr>
        <w:t xml:space="preserve">فعّل العرض بالترتيب: حساب جديد، ثم كود المكافأة في وقته إن طُلب، ثم إيداع يبلغ الحدّ الأدنى، مع التأكد من ربط المكافأة قبل المراهنة.</w:t>
      </w:r>
    </w:p>
    <w:p>
      <w:pPr>
        <w:pStyle w:val="Heading2"/>
      </w:pPr>
      <w:bookmarkStart w:id="3" w:name="_Toc3"/>
      <w:r>
        <w:t>شروط المراهنة</w:t>
      </w:r>
      <w:bookmarkEnd w:id="3"/>
    </w:p>
    <w:p>
      <w:pPr>
        <w:spacing w:after="80"/>
      </w:pPr>
      <w:r>
        <w:rPr>
          <w:b w:val="1"/>
          <w:bCs w:val="1"/>
        </w:rPr>
        <w:t xml:space="preserve">تتحكّم شروط المراهنة في القيمة الحقيقية للعرض: متطلّب التدوير، والكوتة الدنيا لكلّ اختيار، ومدّة الصلاحية، والأسواق المؤهَّلة؛ وهي تحدّد متى يصبح الربح قابلاً للسحب.</w:t>
      </w:r>
    </w:p>
    <w:p>
      <w:pPr/>
      <w:r>
        <w:rPr/>
        <w:t xml:space="preserve">هنا يتقرّر ما إذا كانت المكافأة مفيدة فعلاً. شرط المراهنة (التدوير) يفرض إعادة لعب مبلغ المكافأة أو الإيداع عدداً من المرّات قبل تحويل الأرباح إلى رصيد قابل للسحب. كلّما ارتفع متطلّب التدوير صعُب تحرير المكافأة، بصرف النظر عن حجم رقمها المعلن.</w:t>
      </w:r>
    </w:p>
    <w:p>
      <w:pPr/>
      <w:r>
        <w:rPr/>
        <w:t xml:space="preserve">إلى جانب التدوير، تشترط أغلب العروض كوتة دنيا لكلّ اختيار حتى يُحتسب الرهان ضمن الشرط، ومدّة صلاحية يجب إنجاز التدوير خلالها، وقائمة أسواق مؤهَّلة. الرهانات تحت الكوتة الدنيا أو خارج الأسواق المؤهَّلة لا تُقرّب من تحرير المكافأة.</w:t>
      </w:r>
    </w:p>
    <w:p>
      <w:pPr>
        <w:numPr>
          <w:ilvl w:val="0"/>
          <w:numId w:val="5"/>
        </w:numPr>
      </w:pPr>
      <w:r>
        <w:rPr/>
        <w:t xml:space="preserve">متطلّب التدوير — عدد مرّات إعادة اللعب قبل أن يصبح الربح قابلاً للسحب</w:t>
      </w:r>
    </w:p>
    <w:p>
      <w:pPr>
        <w:numPr>
          <w:ilvl w:val="0"/>
          <w:numId w:val="5"/>
        </w:numPr>
      </w:pPr>
      <w:r>
        <w:rPr/>
        <w:t xml:space="preserve">الكوتة الدنيا — أدنى كوتة لكلّ اختيار حتى يُحتسب الرهان ضمن الشرط</w:t>
      </w:r>
    </w:p>
    <w:p>
      <w:pPr>
        <w:numPr>
          <w:ilvl w:val="0"/>
          <w:numId w:val="5"/>
        </w:numPr>
      </w:pPr>
      <w:r>
        <w:rPr/>
        <w:t xml:space="preserve">مدّة الصلاحية — المهلة الزمنية لإنجاز التدوير قبل سقوط العرض</w:t>
      </w:r>
    </w:p>
    <w:p>
      <w:pPr>
        <w:numPr>
          <w:ilvl w:val="0"/>
          <w:numId w:val="5"/>
        </w:numPr>
      </w:pPr>
      <w:r>
        <w:rPr/>
        <w:t xml:space="preserve">الأسواق المؤهَّلة — الرياضات والأسواق التي تُحرّك التدوير دون غيرها</w:t>
      </w:r>
    </w:p>
    <w:p>
      <w:pPr/>
      <w:r>
        <w:rPr/>
        <w:t xml:space="preserve">مثال يوضّح الأثر: عرضان يحملان المبلغ نفسه، أحدهما بمتطلّب تدوير منخفض وكوتة دنيا معقولة، والآخر بتدوير مرتفع وقائمة أسواق ضيّقة. الأول أقرب إلى التحرير فعلاً رغم تطابق الرقم المعلن، والثاني قد يستنزف رصيدك قبل بلوغ الشرط. هذا بالضبط ما يجعل قراءة البنود أهمّ من حجم الرقم البرّاق في عنوان العرض.</w:t>
      </w:r>
    </w:p>
    <w:p>
      <w:pPr/>
      <w:r>
        <w:rPr/>
        <w:t xml:space="preserve">النتيجة العملية أن عرضين بالرقم نفسه قد يختلفان جذرياً في قيمتهما الحقيقية حسب هذه الشروط. لذلك تُقرأ هذه البنود قبل الإيداع لا بعده، لأنها لا الرقم هي ما يحدّد جدوى المكافأة.</w:t>
      </w:r>
    </w:p>
    <w:p>
      <w:pPr>
        <w:spacing w:before="60" w:after="160"/>
      </w:pPr>
      <w:r>
        <w:rPr>
          <w:color w:val="586A60"/>
          <w:i w:val="1"/>
          <w:iCs w:val="1"/>
        </w:rPr>
        <w:t xml:space="preserve">قيمة المكافأة تقرّرها شروطها: التدوير والكوتة الدنيا والمهلة والأسواق المؤهَّلة؛ عرضان بالرقم نفسه قد يختلفان كثيراً، فاقرأ الشروط قبل الإيداع.</w:t>
      </w:r>
    </w:p>
    <w:p>
      <w:pPr>
        <w:pStyle w:val="Heading2"/>
      </w:pPr>
      <w:bookmarkStart w:id="4" w:name="_Toc4"/>
      <w:r>
        <w:t>نصائح لتحرير المكافأة</w:t>
      </w:r>
      <w:bookmarkEnd w:id="4"/>
    </w:p>
    <w:p>
      <w:pPr>
        <w:spacing w:after="80"/>
      </w:pPr>
      <w:r>
        <w:rPr>
          <w:b w:val="1"/>
          <w:bCs w:val="1"/>
        </w:rPr>
        <w:t xml:space="preserve">تحرير المكافأة يقوم على اختيار أسواق مؤهَّلة بكوتات معقولة، وإدارة رأس المال بانضباط، وتجنّب مطاردة الشروط برهانات متهوّرة قد تُفرغ الرصيد قبل إنجاز التدوير.</w:t>
      </w:r>
    </w:p>
    <w:p>
      <w:pPr/>
      <w:r>
        <w:rPr/>
        <w:t xml:space="preserve">تحرير المكافأة ليس حظاً بقدر ما هو انضباط. الخطوة الأولى اختيار أسواق ضمن القائمة المؤهَّلة وبكوتات تستوفي الحدّ الأدنى دون مبالغة في المخاطرة. الكوتات المرتفعة جداً تسرّع التدوير نظرياً، لكنها ترفع احتمال الخسارة وتُفرغ الرصيد قبل بلوغ الهدف.</w:t>
      </w:r>
    </w:p>
    <w:p>
      <w:pPr/>
      <w:r>
        <w:rPr/>
        <w:t xml:space="preserve">الخطوة الثانية إدارة رأس المال: قسّم التدوير على رهانات متّزنة بدل وضع المبلغ في رهان واحد، فهذا يوزّع المخاطر ويتيح إكمال الشرط على مراحل. الخطوة الثالثة الوعي بالوقت، إذ تسقط المكافأة بانتهاء مدّة الصلاحية مهما بلغت أرباحك المؤقّتة.</w:t>
      </w:r>
    </w:p>
    <w:p>
      <w:pPr>
        <w:numPr>
          <w:ilvl w:val="0"/>
          <w:numId w:val="6"/>
        </w:numPr>
      </w:pPr>
      <w:r>
        <w:rPr>
          <w:b w:val="1"/>
          <w:bCs w:val="1"/>
        </w:rPr>
        <w:t xml:space="preserve">التزِم بالأسواق المؤهَّلة:</w:t>
      </w:r>
      <w:r>
        <w:rPr/>
        <w:t xml:space="preserve"> الرهانات خارجها لا تُحرّك التدوير.</w:t>
      </w:r>
    </w:p>
    <w:p>
      <w:pPr>
        <w:numPr>
          <w:ilvl w:val="0"/>
          <w:numId w:val="6"/>
        </w:numPr>
      </w:pPr>
      <w:r>
        <w:rPr>
          <w:b w:val="1"/>
          <w:bCs w:val="1"/>
        </w:rPr>
        <w:t xml:space="preserve">اختر كوتات معقولة:</w:t>
      </w:r>
      <w:r>
        <w:rPr/>
        <w:t xml:space="preserve"> قريبة من الحدّ الأدنى دون مطاردة كوتات متهوّرة.</w:t>
      </w:r>
    </w:p>
    <w:p>
      <w:pPr>
        <w:numPr>
          <w:ilvl w:val="0"/>
          <w:numId w:val="6"/>
        </w:numPr>
      </w:pPr>
      <w:r>
        <w:rPr>
          <w:b w:val="1"/>
          <w:bCs w:val="1"/>
        </w:rPr>
        <w:t xml:space="preserve">وزّع رأس المال:</w:t>
      </w:r>
      <w:r>
        <w:rPr/>
        <w:t xml:space="preserve"> رهانات متّزنة بدل مبلغ واحد كبير.</w:t>
      </w:r>
    </w:p>
    <w:p>
      <w:pPr>
        <w:numPr>
          <w:ilvl w:val="0"/>
          <w:numId w:val="6"/>
        </w:numPr>
      </w:pPr>
      <w:r>
        <w:rPr>
          <w:b w:val="1"/>
          <w:bCs w:val="1"/>
        </w:rPr>
        <w:t xml:space="preserve">راقب المهلة:</w:t>
      </w:r>
      <w:r>
        <w:rPr/>
        <w:t xml:space="preserve"> أنجِز التدوير قبل انتهاء الصلاحية.</w:t>
      </w:r>
    </w:p>
    <w:p>
      <w:pPr/>
      <w:r>
        <w:rPr/>
        <w:t xml:space="preserve">تطبيق عملي بالدينار: بدل أن تضع كامل مبلغ التدوير في رهان واحد على نتيجة مباراة الترجي أو النادي الإفريقي، وزّعه على عدّة رهانات متّزنة ضمن الأسواق المؤهَّلة وبكوتات قريبة من الحدّ الأدنى. هذا التوزيع يطيل بقاء رصيدك ويتيح إنجاز الشرط على مراحل، بينما الرهان الواحد الكبير يعرّض المكافأة كلّها لنتيجة واحدة قد تنهيها مبكراً.</w:t>
      </w:r>
    </w:p>
    <w:p>
      <w:pPr/>
      <w:r>
        <w:rPr/>
        <w:t xml:space="preserve">ما يجب تجنّبه واضح: مطاردة شرط التدوير برهانات متسرّعة، أو الخروج عن الأسواق المؤهَّلة ظنّاً بأن أيّ رهان يُحتسب. المكافأة امتياز مشروط لا دخل مضمون، والتعامل معها بهذا المنطق يحمي رأس مالك الأصلي.</w:t>
      </w:r>
    </w:p>
    <w:p>
      <w:pPr>
        <w:spacing w:before="60" w:after="160"/>
      </w:pPr>
      <w:r>
        <w:rPr>
          <w:color w:val="586A60"/>
          <w:i w:val="1"/>
          <w:iCs w:val="1"/>
        </w:rPr>
        <w:t xml:space="preserve">حرّر المكافأة بانضباط: أسواق مؤهَّلة وكوتات معقولة ورأس مال موزّع ومراقبة للمهلة، مع تجنّب مطاردة الشروط برهانات متهوّرة تُفرغ الرصيد.</w:t>
      </w:r>
    </w:p>
    <w:p>
      <w:pPr>
        <w:pStyle w:val="Heading2"/>
      </w:pPr>
      <w:bookmarkStart w:id="5" w:name="_Toc5"/>
      <w:r>
        <w:t>سحب أرباح المكافأة</w:t>
      </w:r>
      <w:bookmarkEnd w:id="5"/>
    </w:p>
    <w:p>
      <w:pPr>
        <w:spacing w:after="80"/>
      </w:pPr>
      <w:r>
        <w:rPr>
          <w:b w:val="1"/>
          <w:bCs w:val="1"/>
        </w:rPr>
        <w:t xml:space="preserve">لا تصبح أرباح المكافأة قابلة للسحب إلا بعد إنجاز شروط المراهنة كاملةً وإكمال التحقق من الهوية؛ والمشاكل الشائعة تنشأ غالباً من شرط ناقص أو تحقّق غير مكتمل.</w:t>
      </w:r>
    </w:p>
    <w:p>
      <w:pPr/>
      <w:r>
        <w:rPr/>
        <w:t xml:space="preserve">السحب هو محطّة اختبار العرض. لا تتحوّل أرباح المكافأة إلى رصيد قابل للسحب قبل إنجاز شرط التدوير كاملاً ضمن مدّته وبالكوتات والأسواق المطلوبة. أيّ نقص في الشرط يُبقي الأرباح محجوزة، حتى لو ظهر رصيد مرتفع في الحساب.</w:t>
      </w:r>
    </w:p>
    <w:p>
      <w:pPr/>
      <w:r>
        <w:rPr/>
        <w:t xml:space="preserve">إلى جانب الشرط، يفرض Bet365 تحققاً من الهوية (KYC) قبل أوّل سحب، يشمل وثيقة هوية وإثبات سكن وأحياناً التحقق من وسيلة الدفع. هذا الإجراء تنظيمي لمكافحة غسل الأموال وحماية اللاعب، وقد يؤخّر أوّل عملية إن لم تُرسَل المستندات مبكراً وبجودة واضحة.</w:t>
      </w:r>
    </w:p>
    <w:p>
      <w:pPr>
        <w:numPr>
          <w:ilvl w:val="0"/>
          <w:numId w:val="7"/>
        </w:numPr>
      </w:pPr>
      <w:r>
        <w:rPr>
          <w:b w:val="1"/>
          <w:bCs w:val="1"/>
        </w:rPr>
        <w:t xml:space="preserve">إنجاز الشرط:</w:t>
      </w:r>
      <w:r>
        <w:rPr/>
        <w:t xml:space="preserve"> سحب الأرباح متوقّف على إكمال التدوير ضمن مدّته.</w:t>
      </w:r>
    </w:p>
    <w:p>
      <w:pPr>
        <w:numPr>
          <w:ilvl w:val="0"/>
          <w:numId w:val="7"/>
        </w:numPr>
      </w:pPr>
      <w:r>
        <w:rPr>
          <w:b w:val="1"/>
          <w:bCs w:val="1"/>
        </w:rPr>
        <w:t xml:space="preserve">التحقق:</w:t>
      </w:r>
      <w:r>
        <w:rPr/>
        <w:t xml:space="preserve"> وثيقة هوية وإثبات سكن، وربما تأكيد وسيلة الدفع.</w:t>
      </w:r>
    </w:p>
    <w:p>
      <w:pPr>
        <w:numPr>
          <w:ilvl w:val="0"/>
          <w:numId w:val="7"/>
        </w:numPr>
      </w:pPr>
      <w:r>
        <w:rPr>
          <w:b w:val="1"/>
          <w:bCs w:val="1"/>
        </w:rPr>
        <w:t xml:space="preserve">المشاكل الشائعة:</w:t>
      </w:r>
      <w:r>
        <w:rPr/>
        <w:t xml:space="preserve"> شرط ناقص، أو تحقّق غير مكتمل، أو طريقة سحب مختلفة عن الإيداع.</w:t>
      </w:r>
    </w:p>
    <w:p>
      <w:pPr/>
      <w:r>
        <w:rPr/>
        <w:t xml:space="preserve">نقطة عملية تقلّل المفاجآت: استخدم وسيلة الدفع نفسها للإيداع والسحب قدر الإمكان، فاختلاف الوسيلتين من أكثر أسباب تعثّر السحب شيوعاً. وأكمل التحقق من الهوية مبكراً بعد التسجيل لا عند أوّل طلب سحب، حتى لا يتأخّر صرف أرباحك بانتظار مراجعة المستندات. أرسل صوراً واضحة ومقروءة مطابقة لبيانات التسجيل، فصورة غير واضحة أو اسم لا يطابق وثيقة الهوية يعيدان الطلب من جديد ويطيلان المدّة. الحدود والمدد الفعلية تُعلن على الموقع الرسمي وتتغيّر بمرور الوقت.</w:t>
      </w:r>
    </w:p>
    <w:p>
      <w:pPr/>
      <w:r>
        <w:rPr/>
        <w:t xml:space="preserve">عند تعثّر السحب، ابدأ بمراجعة حالة التدوير ثم اكتمال التحقق، فهما السببان الأكثر شيوعاً. الحدود والمدد الفعلية للسحب تتغيّر وتُعلن على الموقع الرسمي، فلا تُبنى توقّعاتك على أرقام منقولة من صفحات خارجية.</w:t>
      </w:r>
    </w:p>
    <w:p>
      <w:pPr>
        <w:spacing w:before="60" w:after="160"/>
      </w:pPr>
      <w:r>
        <w:rPr>
          <w:color w:val="586A60"/>
          <w:i w:val="1"/>
          <w:iCs w:val="1"/>
        </w:rPr>
        <w:t xml:space="preserve">أرباح المكافأة لا تُسحب قبل إنجاز التدوير كاملاً وإكمال التحقق من الهوية؛ ومعظم مشاكل السحب سببها شرط ناقص أو تحقّق غير مكتمل، لا عطل في النظام.</w:t>
      </w:r>
    </w:p>
    <w:p>
      <w:pPr>
        <w:pStyle w:val="Heading2"/>
      </w:pPr>
      <w:bookmarkStart w:id="6" w:name="_Toc6"/>
      <w:r>
        <w:t>FAQ</w:t>
      </w:r>
      <w:bookmarkEnd w:id="6"/>
    </w:p>
    <w:p>
      <w:pPr>
        <w:spacing w:before="80"/>
      </w:pPr>
      <w:r>
        <w:rPr>
          <w:b w:val="1"/>
          <w:bCs w:val="1"/>
        </w:rPr>
        <w:t xml:space="preserve">كم يبلغ مبلغ مكافأة الترحيب بالدينار؟</w:t>
      </w:r>
    </w:p>
    <w:p>
      <w:pPr>
        <w:spacing w:after="60"/>
      </w:pPr>
      <w:r>
        <w:rPr/>
        <w:t xml:space="preserve">المبلغ متغيّر حسب السوق والفترة ولا يصحّ اختراعه أو نقله من صفحة خارجية. العرض المُلزم هو ما يظهر على الموقع الرسمي لحظة التسجيل في تونس، ويُحقَّق هناك قبل الإيداع.</w:t>
      </w:r>
    </w:p>
    <w:p>
      <w:pPr>
        <w:spacing w:before="80"/>
      </w:pPr>
      <w:r>
        <w:rPr>
          <w:b w:val="1"/>
          <w:bCs w:val="1"/>
        </w:rPr>
        <w:t xml:space="preserve">هل أحتاج كود مكافأة لتفعيل العرض؟</w:t>
      </w:r>
    </w:p>
    <w:p>
      <w:pPr>
        <w:spacing w:after="60"/>
      </w:pPr>
      <w:r>
        <w:rPr/>
        <w:t xml:space="preserve">أحياناً يُطلب كود يُدخَل في حقله أثناء التسجيل لربط الحساب بالترويج الجاري. الكود لا يرفع قيمة العرض ولا يُلغي شرطاً؛ هو توجيه لا مفتاح مال، والعرض المُلزم يبقى ما يظهر على الموقع الرسمي.</w:t>
      </w:r>
    </w:p>
    <w:p>
      <w:pPr>
        <w:spacing w:before="80"/>
      </w:pPr>
      <w:r>
        <w:rPr>
          <w:b w:val="1"/>
          <w:bCs w:val="1"/>
        </w:rPr>
        <w:t xml:space="preserve">ما معنى شرط التدوير؟</w:t>
      </w:r>
    </w:p>
    <w:p>
      <w:pPr>
        <w:spacing w:after="60"/>
      </w:pPr>
      <w:r>
        <w:rPr/>
        <w:t xml:space="preserve">هو إعادة لعب مبلغ المكافأة أو الإيداع عدداً من المرّات قبل تحويل الأرباح إلى رصيد قابل للسحب، ضمن مدّة وكوتة دنيا وأسواق مؤهَّلة. كلّما ارتفع التدوير صعُب تحرير المكافأة.</w:t>
      </w:r>
    </w:p>
    <w:p>
      <w:pPr>
        <w:spacing w:before="80"/>
      </w:pPr>
      <w:r>
        <w:rPr>
          <w:b w:val="1"/>
          <w:bCs w:val="1"/>
        </w:rPr>
        <w:t xml:space="preserve">لماذا لا أستطيع سحب أرباح المكافأة؟</w:t>
      </w:r>
    </w:p>
    <w:p>
      <w:pPr>
        <w:spacing w:after="60"/>
      </w:pPr>
      <w:r>
        <w:rPr/>
        <w:t xml:space="preserve">غالباً لأن شرط التدوير لم يكتمل بعد، أو لأن التحقق من الهوية غير مكتمل. راجِع حالة التدوير ضمن مدّته أولاً، ثم تأكّد من إرسال مستندات التحقق بوضوح.</w:t>
      </w:r>
    </w:p>
    <w:p>
      <w:pPr>
        <w:spacing w:before="80"/>
      </w:pPr>
      <w:r>
        <w:rPr>
          <w:b w:val="1"/>
          <w:bCs w:val="1"/>
        </w:rPr>
        <w:t xml:space="preserve">هل تصلح المكافأة الرياضية للكازينو؟</w:t>
      </w:r>
    </w:p>
    <w:p>
      <w:pPr>
        <w:spacing w:after="60"/>
      </w:pPr>
      <w:r>
        <w:rPr/>
        <w:t xml:space="preserve">لا غالباً. لعرض الرياضة أسواقه المؤهَّلة وشروط تدويره، ولعرض الكازينو ألعابه وشروطه المنفصلة. اقرأ المجال المحدّد للعرض الذي تختاره على الموقع الرسمي قبل أن تبني عليه.</w:t>
      </w:r>
    </w:p>
    <w:p>
      <w:pPr>
        <w:spacing w:before="80"/>
      </w:pPr>
      <w:r>
        <w:rPr>
          <w:b w:val="1"/>
          <w:bCs w:val="1"/>
        </w:rPr>
        <w:t xml:space="preserve">هل يمكن سحب مبلغ المكافأة نفسه فوراً؟</w:t>
      </w:r>
    </w:p>
    <w:p>
      <w:pPr>
        <w:spacing w:after="60"/>
      </w:pPr>
      <w:r>
        <w:rPr/>
        <w:t xml:space="preserve">لا عادةً. مبلغ المكافأة نفسه غالباً غير قابل للسحب مباشرةً، وإنما تُسحب الأرباح الناتجة عنه بعد إنجاز شرط التدوير كاملاً ضمن مدّته وبالكوتات والأسواق المطلوبة، ثم اكتمال التحقق من الهوية. أيّ نقص في الشرط يُبقي الأرباح محجوزة حتى لو ظهر رصيد مرتفع في الحساب. التفاصيل الدقيقة لكلّ عرض تُحقَّق على الموقع الرسمي قبل القبول.</w:t>
      </w:r>
    </w:p>
    <w:p>
      <w:pPr>
        <w:spacing w:before="240"/>
      </w:pPr>
      <w:r>
        <w:rPr>
          <w:color w:val="586A60"/>
          <w:sz w:val="18"/>
          <w:szCs w:val="18"/>
        </w:rPr>
        <w:t xml:space="preserve">Full article: </w:t>
      </w:r>
      <w:hyperlink r:id="rId7" w:history="1">
        <w:r>
          <w:rPr>
            <w:color w:val="1A7A4F"/>
            <w:sz w:val="18"/>
            <w:szCs w:val="18"/>
            <w:u w:val="single"/>
          </w:rPr>
          <w:t xml:space="preserve">https://365tn.net/ar/mukafaat-altarhib</w:t>
        </w:r>
      </w:hyperlink>
    </w:p>
    <w:p>
      <w:pPr>
        <w:spacing w:before="120"/>
      </w:pPr>
      <w:r>
        <w:rPr>
          <w:color w:val="586A60"/>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BF4CB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D3B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0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E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4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A4F"/>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tn.net/ar/mukafaat-altarh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Tunisie</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Hatem Gharbi, rédacteur paris sportifs</dc:creator>
  <dc:title>مكافأة Bet365 تونس 2026: العرض والشروط</dc:title>
  <dc:description>مكافأة الترحيب من Bet365 في تونس 2026: المبلغ الإرشادي، شروط المراهنة، كيفية التفعيل للرياضة والأخطاء الشائعة. دليل موضوعي وصريح.</dc:description>
  <dc:subject>مكافأة الترحيب من Bet365: دليل 2026</dc:subject>
  <cp:keywords/>
  <cp:category/>
  <cp:lastModifiedBy/>
  <dcterms:created xsi:type="dcterms:W3CDTF">2026-07-13T18:11:54+00:00</dcterms:created>
  <dcterms:modified xsi:type="dcterms:W3CDTF">2026-07-13T18:11:54+00:00</dcterms:modified>
</cp:coreProperties>
</file>

<file path=docProps/custom.xml><?xml version="1.0" encoding="utf-8"?>
<Properties xmlns="http://schemas.openxmlformats.org/officeDocument/2006/custom-properties" xmlns:vt="http://schemas.openxmlformats.org/officeDocument/2006/docPropsVTypes"/>
</file>